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F57" w:rsidRPr="00DE2BA5" w:rsidRDefault="00455F57" w:rsidP="00455F57">
      <w:pPr>
        <w:rPr>
          <w:rFonts w:asciiTheme="majorBidi" w:hAnsiTheme="majorBidi" w:cstheme="majorBidi"/>
          <w:b/>
          <w:bCs/>
          <w:sz w:val="26"/>
          <w:szCs w:val="26"/>
          <w:lang w:val="fr-FR"/>
        </w:rPr>
      </w:pPr>
      <w:r w:rsidRPr="00DE2BA5">
        <w:rPr>
          <w:rFonts w:asciiTheme="majorBidi" w:hAnsiTheme="majorBidi" w:cstheme="majorBidi"/>
          <w:b/>
          <w:bCs/>
          <w:sz w:val="26"/>
          <w:szCs w:val="26"/>
          <w:lang w:val="fr-FR"/>
        </w:rPr>
        <w:t>Deuxième année</w:t>
      </w:r>
    </w:p>
    <w:p w:rsidR="00455F57" w:rsidRPr="00DE2BA5" w:rsidRDefault="00455F57" w:rsidP="00846C60">
      <w:pPr>
        <w:pStyle w:val="ListParagraph"/>
        <w:spacing w:line="240" w:lineRule="auto"/>
        <w:jc w:val="center"/>
        <w:rPr>
          <w:rFonts w:asciiTheme="majorBidi" w:hAnsiTheme="majorBidi" w:cstheme="majorBidi"/>
          <w:b/>
          <w:bCs/>
          <w:sz w:val="26"/>
          <w:szCs w:val="26"/>
          <w:highlight w:val="yellow"/>
        </w:rPr>
      </w:pPr>
      <w:r w:rsidRPr="00DE2BA5">
        <w:rPr>
          <w:rFonts w:asciiTheme="majorBidi" w:hAnsiTheme="majorBidi" w:cstheme="majorBidi"/>
          <w:b/>
          <w:bCs/>
          <w:sz w:val="26"/>
          <w:szCs w:val="26"/>
          <w:highlight w:val="yellow"/>
          <w:u w:val="single"/>
        </w:rPr>
        <w:t>Droit</w:t>
      </w:r>
      <w:r w:rsidRPr="00DE2BA5">
        <w:rPr>
          <w:rFonts w:asciiTheme="majorBidi" w:hAnsiTheme="majorBidi" w:cstheme="majorBidi"/>
          <w:b/>
          <w:bCs/>
          <w:sz w:val="26"/>
          <w:szCs w:val="26"/>
          <w:highlight w:val="yellow"/>
        </w:rPr>
        <w:t xml:space="preserve">               </w:t>
      </w:r>
    </w:p>
    <w:p w:rsidR="00455F57" w:rsidRPr="00DE2BA5" w:rsidRDefault="00455F57" w:rsidP="00455F57">
      <w:pPr>
        <w:pStyle w:val="ListParagraph"/>
        <w:spacing w:line="240" w:lineRule="auto"/>
        <w:jc w:val="center"/>
        <w:rPr>
          <w:rFonts w:asciiTheme="majorBidi" w:hAnsiTheme="majorBidi" w:cstheme="majorBidi"/>
          <w:b/>
          <w:bCs/>
          <w:sz w:val="26"/>
          <w:szCs w:val="26"/>
          <w:u w:val="single"/>
          <w:rtl/>
        </w:rPr>
      </w:pPr>
      <w:r w:rsidRPr="00DE2BA5">
        <w:rPr>
          <w:rFonts w:asciiTheme="majorBidi" w:hAnsiTheme="majorBidi" w:cstheme="majorBidi"/>
          <w:b/>
          <w:bCs/>
          <w:sz w:val="26"/>
          <w:szCs w:val="26"/>
          <w:highlight w:val="yellow"/>
          <w:u w:val="single"/>
          <w:rtl/>
        </w:rPr>
        <w:t>حقوق</w:t>
      </w:r>
    </w:p>
    <w:p w:rsidR="00846C60" w:rsidRPr="00DE2BA5" w:rsidRDefault="00846C60" w:rsidP="00846C60">
      <w:pPr>
        <w:pStyle w:val="ListParagraph"/>
        <w:bidi/>
        <w:spacing w:line="240" w:lineRule="auto"/>
        <w:ind w:hanging="1288"/>
        <w:jc w:val="both"/>
        <w:rPr>
          <w:rFonts w:asciiTheme="majorBidi" w:hAnsiTheme="majorBidi" w:cstheme="majorBidi"/>
          <w:b/>
          <w:bCs/>
          <w:sz w:val="26"/>
          <w:szCs w:val="26"/>
          <w:u w:val="single"/>
        </w:rPr>
      </w:pPr>
      <w:r w:rsidRPr="00DE2BA5">
        <w:rPr>
          <w:rFonts w:asciiTheme="majorBidi" w:hAnsiTheme="majorBidi" w:cstheme="majorBidi" w:hint="cs"/>
          <w:b/>
          <w:bCs/>
          <w:sz w:val="26"/>
          <w:szCs w:val="26"/>
          <w:u w:val="single"/>
          <w:rtl/>
        </w:rPr>
        <w:t>القسم الاول:</w:t>
      </w:r>
      <w:r w:rsidR="00FD7D64">
        <w:rPr>
          <w:rFonts w:asciiTheme="majorBidi" w:hAnsiTheme="majorBidi" w:cstheme="majorBidi" w:hint="cs"/>
          <w:b/>
          <w:bCs/>
          <w:sz w:val="26"/>
          <w:szCs w:val="26"/>
          <w:u w:val="single"/>
          <w:rtl/>
        </w:rPr>
        <w:t xml:space="preserve"> حقوق الإنسان</w:t>
      </w:r>
    </w:p>
    <w:p w:rsidR="00455F57" w:rsidRPr="00DE2BA5" w:rsidRDefault="00455F57" w:rsidP="00846C60">
      <w:pPr>
        <w:pStyle w:val="ListParagraph"/>
        <w:numPr>
          <w:ilvl w:val="0"/>
          <w:numId w:val="65"/>
        </w:numPr>
        <w:bidi/>
        <w:spacing w:line="240" w:lineRule="auto"/>
        <w:ind w:left="566" w:hanging="284"/>
        <w:jc w:val="both"/>
        <w:rPr>
          <w:rFonts w:asciiTheme="majorBidi" w:hAnsiTheme="majorBidi" w:cstheme="majorBidi"/>
          <w:sz w:val="26"/>
          <w:szCs w:val="26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 xml:space="preserve"> التعريف بحقوق الانسان وأهميتها.</w:t>
      </w:r>
    </w:p>
    <w:p w:rsidR="00846C60" w:rsidRPr="00DE2BA5" w:rsidRDefault="00846C60" w:rsidP="00846C60">
      <w:pPr>
        <w:pStyle w:val="ListParagraph"/>
        <w:numPr>
          <w:ilvl w:val="0"/>
          <w:numId w:val="65"/>
        </w:numPr>
        <w:bidi/>
        <w:spacing w:line="240" w:lineRule="auto"/>
        <w:ind w:left="566" w:hanging="284"/>
        <w:jc w:val="both"/>
        <w:rPr>
          <w:rFonts w:asciiTheme="majorBidi" w:hAnsiTheme="majorBidi" w:cstheme="majorBidi"/>
          <w:sz w:val="26"/>
          <w:szCs w:val="26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الاعلان العالمي لحقوق الانسان: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 xml:space="preserve"> (مضمونه)</w:t>
      </w:r>
    </w:p>
    <w:p w:rsidR="00846C60" w:rsidRPr="00DE2BA5" w:rsidRDefault="00846C60" w:rsidP="00846C60">
      <w:pPr>
        <w:pStyle w:val="ListParagraph"/>
        <w:numPr>
          <w:ilvl w:val="0"/>
          <w:numId w:val="65"/>
        </w:numPr>
        <w:bidi/>
        <w:spacing w:line="240" w:lineRule="auto"/>
        <w:ind w:left="566" w:hanging="284"/>
        <w:jc w:val="both"/>
        <w:rPr>
          <w:rFonts w:asciiTheme="majorBidi" w:hAnsiTheme="majorBidi" w:cstheme="majorBidi"/>
          <w:sz w:val="26"/>
          <w:szCs w:val="26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الضمانات الاساسية لحقوق الانسان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>: (السياسية والقانونية)</w:t>
      </w:r>
    </w:p>
    <w:p w:rsidR="00846C60" w:rsidRPr="00DE2BA5" w:rsidRDefault="00846C60" w:rsidP="00846C60">
      <w:pPr>
        <w:pStyle w:val="ListParagraph"/>
        <w:numPr>
          <w:ilvl w:val="0"/>
          <w:numId w:val="65"/>
        </w:numPr>
        <w:bidi/>
        <w:spacing w:line="240" w:lineRule="auto"/>
        <w:ind w:left="566" w:hanging="284"/>
        <w:jc w:val="both"/>
        <w:rPr>
          <w:rFonts w:asciiTheme="majorBidi" w:hAnsiTheme="majorBidi" w:cstheme="majorBidi"/>
          <w:sz w:val="26"/>
          <w:szCs w:val="26"/>
          <w:rtl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حقوق الانسان في القانون اللبناني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>:</w:t>
      </w:r>
    </w:p>
    <w:p w:rsidR="004A2F51" w:rsidRPr="00DE2BA5" w:rsidRDefault="00455F57" w:rsidP="00C85FE7">
      <w:pPr>
        <w:pStyle w:val="ListParagraph"/>
        <w:numPr>
          <w:ilvl w:val="0"/>
          <w:numId w:val="21"/>
        </w:numPr>
        <w:bidi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الحق في الحياة (مفهومه وموانعه والاستثناءات عليه-الاجهاض-الاعدام</w:t>
      </w:r>
      <w:r w:rsidR="004A2F51" w:rsidRPr="00DE2BA5">
        <w:rPr>
          <w:rFonts w:asciiTheme="majorBidi" w:hAnsiTheme="majorBidi" w:cstheme="majorBidi"/>
          <w:sz w:val="26"/>
          <w:szCs w:val="26"/>
          <w:rtl/>
        </w:rPr>
        <w:t xml:space="preserve">- </w:t>
      </w:r>
      <w:r w:rsidRPr="00DE2BA5">
        <w:rPr>
          <w:rFonts w:asciiTheme="majorBidi" w:hAnsiTheme="majorBidi" w:cstheme="majorBidi"/>
          <w:sz w:val="26"/>
          <w:szCs w:val="26"/>
          <w:rtl/>
        </w:rPr>
        <w:t>القتل الرحيم…)</w:t>
      </w:r>
    </w:p>
    <w:p w:rsidR="004A2F51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 xml:space="preserve">الحق في </w:t>
      </w:r>
      <w:bookmarkStart w:id="0" w:name="_GoBack"/>
      <w:bookmarkEnd w:id="0"/>
      <w:r w:rsidRPr="00DE2BA5">
        <w:rPr>
          <w:rFonts w:asciiTheme="majorBidi" w:hAnsiTheme="majorBidi" w:cstheme="majorBidi"/>
          <w:sz w:val="26"/>
          <w:szCs w:val="26"/>
          <w:rtl/>
        </w:rPr>
        <w:t>حماية الحقوق الخاصة…</w:t>
      </w:r>
    </w:p>
    <w:p w:rsidR="004A2F51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حرية المنزل والاستثناء عليه ( إختياره - حرمته…)</w:t>
      </w:r>
    </w:p>
    <w:p w:rsidR="00455F57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التنقل والاستثناء عليه ( الخارجي-الداخلي-التوقيف والحجز…)</w:t>
      </w:r>
    </w:p>
    <w:p w:rsidR="004A2F51" w:rsidRPr="00DE2BA5" w:rsidRDefault="004A2F51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حق الملكية والاستثناء عليه</w:t>
      </w:r>
    </w:p>
    <w:p w:rsidR="004A2F51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سرية المراسلات ( هاتفية - بريدية -الكترونية…)</w:t>
      </w:r>
    </w:p>
    <w:p w:rsidR="004A2F51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 xml:space="preserve">حقوق الطفل: </w:t>
      </w:r>
    </w:p>
    <w:p w:rsidR="004A2F51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الاتفاقية الدولية لحقوق الطفل.</w:t>
      </w:r>
    </w:p>
    <w:p w:rsidR="004A2F51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حقوق الطفل اللبناني.</w:t>
      </w:r>
    </w:p>
    <w:p w:rsidR="00454862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 xml:space="preserve">مدى إنتشار الجمعيات لحماية الطفولة. </w:t>
      </w:r>
    </w:p>
    <w:p w:rsidR="00454862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الحقوق المدنية والسياسية:</w:t>
      </w:r>
    </w:p>
    <w:p w:rsidR="00454862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الحق في حرية الرأي والتعبير.</w:t>
      </w:r>
    </w:p>
    <w:p w:rsidR="00454862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حرية المعتقد الديني.</w:t>
      </w:r>
    </w:p>
    <w:p w:rsidR="00454862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حق التجمع والاجتماع.</w:t>
      </w:r>
    </w:p>
    <w:p w:rsidR="00454862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الحقوق الاقتصادية والاجتماعية:</w:t>
      </w:r>
    </w:p>
    <w:p w:rsidR="00454862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الحق في العمل ( عمل الاحداث…)</w:t>
      </w:r>
    </w:p>
    <w:p w:rsidR="00455F57" w:rsidRPr="00DE2BA5" w:rsidRDefault="00455F57" w:rsidP="00C85FE7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الحرية النقابية…</w:t>
      </w:r>
    </w:p>
    <w:p w:rsidR="00846C60" w:rsidRPr="00DE2BA5" w:rsidRDefault="00846C60" w:rsidP="00846C60">
      <w:pPr>
        <w:pStyle w:val="ListParagraph"/>
        <w:numPr>
          <w:ilvl w:val="0"/>
          <w:numId w:val="65"/>
        </w:numPr>
        <w:bidi/>
        <w:spacing w:line="240" w:lineRule="auto"/>
        <w:ind w:left="566" w:hanging="284"/>
        <w:jc w:val="both"/>
        <w:rPr>
          <w:rFonts w:asciiTheme="majorBidi" w:hAnsiTheme="majorBidi" w:cstheme="majorBidi"/>
          <w:sz w:val="26"/>
          <w:szCs w:val="26"/>
          <w:rtl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حقوق الانسان في القانون اللبناني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>:</w:t>
      </w:r>
    </w:p>
    <w:p w:rsidR="00455F57" w:rsidRPr="00DE2BA5" w:rsidRDefault="00454862" w:rsidP="00846C60">
      <w:pPr>
        <w:bidi/>
        <w:spacing w:line="240" w:lineRule="auto"/>
        <w:ind w:left="-1054" w:firstLine="61"/>
        <w:jc w:val="both"/>
        <w:rPr>
          <w:rFonts w:asciiTheme="majorBidi" w:hAnsiTheme="majorBidi" w:cstheme="majorBidi"/>
          <w:sz w:val="26"/>
          <w:szCs w:val="26"/>
          <w:rtl/>
        </w:rPr>
      </w:pPr>
      <w:r w:rsidRPr="00DE2BA5">
        <w:rPr>
          <w:rFonts w:asciiTheme="majorBidi" w:hAnsiTheme="majorBidi" w:cstheme="majorBidi"/>
          <w:b/>
          <w:bCs/>
          <w:sz w:val="26"/>
          <w:szCs w:val="26"/>
          <w:rtl/>
        </w:rPr>
        <w:tab/>
      </w:r>
      <w:r w:rsidRPr="00DE2BA5">
        <w:rPr>
          <w:rFonts w:asciiTheme="majorBidi" w:hAnsiTheme="majorBidi" w:cstheme="majorBidi"/>
          <w:b/>
          <w:bCs/>
          <w:sz w:val="26"/>
          <w:szCs w:val="26"/>
          <w:u w:val="single"/>
          <w:rtl/>
        </w:rPr>
        <w:t>القسم الثاني:</w:t>
      </w:r>
      <w:r w:rsidR="00455F57" w:rsidRPr="00DE2BA5">
        <w:rPr>
          <w:rFonts w:asciiTheme="majorBidi" w:hAnsiTheme="majorBidi" w:cstheme="majorBidi"/>
          <w:b/>
          <w:bCs/>
          <w:sz w:val="26"/>
          <w:szCs w:val="26"/>
          <w:u w:val="single"/>
          <w:rtl/>
        </w:rPr>
        <w:t>الاسس القانونية لدور الحضانة</w:t>
      </w:r>
      <w:r w:rsidRPr="00DE2BA5">
        <w:rPr>
          <w:rFonts w:asciiTheme="majorBidi" w:hAnsiTheme="majorBidi" w:cstheme="majorBidi"/>
          <w:b/>
          <w:bCs/>
          <w:sz w:val="26"/>
          <w:szCs w:val="26"/>
          <w:u w:val="single"/>
          <w:rtl/>
        </w:rPr>
        <w:t xml:space="preserve">: </w:t>
      </w:r>
    </w:p>
    <w:p w:rsidR="00846C60" w:rsidRPr="00DE2BA5" w:rsidRDefault="00455F57" w:rsidP="00846C60">
      <w:pPr>
        <w:pStyle w:val="ListParagraph"/>
        <w:numPr>
          <w:ilvl w:val="0"/>
          <w:numId w:val="66"/>
        </w:numPr>
        <w:bidi/>
        <w:spacing w:line="240" w:lineRule="auto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 xml:space="preserve"> الشروط القانونية والصحية للترخيص</w:t>
      </w:r>
      <w:r w:rsidR="00846C60" w:rsidRPr="00DE2BA5">
        <w:rPr>
          <w:rFonts w:asciiTheme="majorBidi" w:hAnsiTheme="majorBidi" w:cstheme="majorBidi" w:hint="cs"/>
          <w:sz w:val="26"/>
          <w:szCs w:val="26"/>
          <w:rtl/>
        </w:rPr>
        <w:t>: (</w:t>
      </w:r>
      <w:r w:rsidRPr="00DE2BA5">
        <w:rPr>
          <w:rFonts w:asciiTheme="majorBidi" w:hAnsiTheme="majorBidi" w:cstheme="majorBidi"/>
          <w:sz w:val="26"/>
          <w:szCs w:val="26"/>
          <w:rtl/>
        </w:rPr>
        <w:t>عدد الغرف- كيفية وضع الاسرة- قاعات اللعب-مساحة الحديقة…</w:t>
      </w:r>
      <w:r w:rsidR="00846C60" w:rsidRPr="00DE2BA5">
        <w:rPr>
          <w:rFonts w:asciiTheme="majorBidi" w:hAnsiTheme="majorBidi" w:cstheme="majorBidi" w:hint="cs"/>
          <w:sz w:val="26"/>
          <w:szCs w:val="26"/>
          <w:rtl/>
        </w:rPr>
        <w:t>)</w:t>
      </w:r>
      <w:r w:rsidR="00846C60" w:rsidRPr="00DE2BA5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="00DE2BA5" w:rsidRPr="00DE2BA5">
        <w:rPr>
          <w:rFonts w:asciiTheme="majorBidi" w:hAnsiTheme="majorBidi" w:cstheme="majorBidi"/>
          <w:sz w:val="26"/>
          <w:szCs w:val="26"/>
          <w:rtl/>
        </w:rPr>
        <w:t>–</w:t>
      </w:r>
      <w:r w:rsidR="00DE2BA5" w:rsidRPr="00DE2BA5">
        <w:rPr>
          <w:rFonts w:asciiTheme="majorBidi" w:hAnsiTheme="majorBidi" w:cstheme="majorBidi" w:hint="cs"/>
          <w:sz w:val="26"/>
          <w:szCs w:val="26"/>
          <w:rtl/>
        </w:rPr>
        <w:t xml:space="preserve"> السلطة الصالحة لمنح الترخيض</w:t>
      </w:r>
    </w:p>
    <w:p w:rsidR="00455F57" w:rsidRPr="00DE2BA5" w:rsidRDefault="00846C60" w:rsidP="00846C60">
      <w:pPr>
        <w:pStyle w:val="ListParagraph"/>
        <w:numPr>
          <w:ilvl w:val="0"/>
          <w:numId w:val="66"/>
        </w:numPr>
        <w:bidi/>
        <w:spacing w:line="240" w:lineRule="auto"/>
        <w:jc w:val="both"/>
        <w:rPr>
          <w:rFonts w:asciiTheme="majorBidi" w:hAnsiTheme="majorBidi" w:cstheme="majorBidi" w:hint="cs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 xml:space="preserve">مؤهلات المدير 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>و</w:t>
      </w:r>
      <w:r w:rsidRPr="00DE2BA5">
        <w:rPr>
          <w:rFonts w:asciiTheme="majorBidi" w:hAnsiTheme="majorBidi" w:cstheme="majorBidi"/>
          <w:sz w:val="26"/>
          <w:szCs w:val="26"/>
          <w:rtl/>
        </w:rPr>
        <w:t>طبيب الاطفال</w:t>
      </w:r>
      <w:r w:rsidRPr="00DE2BA5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DE2BA5">
        <w:rPr>
          <w:rFonts w:asciiTheme="majorBidi" w:hAnsiTheme="majorBidi" w:cstheme="majorBidi"/>
          <w:sz w:val="26"/>
          <w:szCs w:val="26"/>
          <w:rtl/>
        </w:rPr>
        <w:t>والممرضات</w:t>
      </w:r>
      <w:r w:rsidRPr="00DE2BA5">
        <w:rPr>
          <w:rFonts w:asciiTheme="majorBidi" w:hAnsiTheme="majorBidi" w:cstheme="majorBidi"/>
          <w:sz w:val="26"/>
          <w:szCs w:val="26"/>
          <w:rtl/>
        </w:rPr>
        <w:t xml:space="preserve"> </w:t>
      </w:r>
    </w:p>
    <w:p w:rsidR="00846C60" w:rsidRPr="00DE2BA5" w:rsidRDefault="00846C60" w:rsidP="00846C60">
      <w:pPr>
        <w:pStyle w:val="ListParagraph"/>
        <w:numPr>
          <w:ilvl w:val="0"/>
          <w:numId w:val="66"/>
        </w:numPr>
        <w:bidi/>
        <w:spacing w:line="240" w:lineRule="auto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إدارة الدور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>:</w:t>
      </w:r>
      <w:r w:rsidRPr="00DE2BA5">
        <w:rPr>
          <w:rFonts w:asciiTheme="majorBidi" w:hAnsiTheme="majorBidi" w:cstheme="majorBidi"/>
          <w:sz w:val="26"/>
          <w:szCs w:val="26"/>
          <w:rtl/>
        </w:rPr>
        <w:t xml:space="preserve"> الاجراءات الادارية لمسك سجلات الدو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 xml:space="preserve">ر - </w:t>
      </w:r>
      <w:r w:rsidRPr="00DE2BA5">
        <w:rPr>
          <w:rFonts w:asciiTheme="majorBidi" w:hAnsiTheme="majorBidi" w:cstheme="majorBidi"/>
          <w:sz w:val="26"/>
          <w:szCs w:val="26"/>
          <w:rtl/>
        </w:rPr>
        <w:t>سجل طبيب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 xml:space="preserve"> - </w:t>
      </w:r>
      <w:r w:rsidRPr="00DE2BA5">
        <w:rPr>
          <w:rFonts w:asciiTheme="majorBidi" w:hAnsiTheme="majorBidi" w:cstheme="majorBidi"/>
          <w:sz w:val="26"/>
          <w:szCs w:val="26"/>
          <w:rtl/>
        </w:rPr>
        <w:t xml:space="preserve">سجل الطفل 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 xml:space="preserve">- </w:t>
      </w:r>
      <w:r w:rsidRPr="00DE2BA5">
        <w:rPr>
          <w:rFonts w:asciiTheme="majorBidi" w:hAnsiTheme="majorBidi" w:cstheme="majorBidi"/>
          <w:sz w:val="26"/>
          <w:szCs w:val="26"/>
          <w:rtl/>
        </w:rPr>
        <w:t>سجل الغذاء</w:t>
      </w:r>
      <w:r w:rsidRPr="00DE2BA5">
        <w:rPr>
          <w:rFonts w:asciiTheme="majorBidi" w:hAnsiTheme="majorBidi" w:cstheme="majorBidi"/>
          <w:sz w:val="26"/>
          <w:szCs w:val="26"/>
          <w:rtl/>
        </w:rPr>
        <w:t xml:space="preserve"> </w:t>
      </w:r>
    </w:p>
    <w:p w:rsidR="00846C60" w:rsidRPr="00DE2BA5" w:rsidRDefault="00846C60" w:rsidP="00846C60">
      <w:pPr>
        <w:pStyle w:val="ListParagraph"/>
        <w:numPr>
          <w:ilvl w:val="0"/>
          <w:numId w:val="66"/>
        </w:num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إستمارة الدخول والخروج…</w:t>
      </w:r>
    </w:p>
    <w:p w:rsidR="00455F57" w:rsidRPr="00DE2BA5" w:rsidRDefault="00846C60" w:rsidP="00846C60">
      <w:pPr>
        <w:pStyle w:val="ListParagraph"/>
        <w:numPr>
          <w:ilvl w:val="0"/>
          <w:numId w:val="66"/>
        </w:numPr>
        <w:bidi/>
        <w:spacing w:line="240" w:lineRule="auto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شروط قبول الاطفال ومراقبتهم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>: (</w:t>
      </w:r>
      <w:r w:rsidR="00455F57" w:rsidRPr="00DE2BA5">
        <w:rPr>
          <w:rFonts w:asciiTheme="majorBidi" w:hAnsiTheme="majorBidi" w:cstheme="majorBidi"/>
          <w:sz w:val="26"/>
          <w:szCs w:val="26"/>
          <w:rtl/>
        </w:rPr>
        <w:t>ساعات القبول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 xml:space="preserve">- </w:t>
      </w:r>
      <w:r w:rsidR="00455F57" w:rsidRPr="00DE2BA5">
        <w:rPr>
          <w:rFonts w:asciiTheme="majorBidi" w:hAnsiTheme="majorBidi" w:cstheme="majorBidi"/>
          <w:sz w:val="26"/>
          <w:szCs w:val="26"/>
          <w:rtl/>
        </w:rPr>
        <w:t>م</w:t>
      </w:r>
      <w:r w:rsidRPr="00DE2BA5">
        <w:rPr>
          <w:rFonts w:asciiTheme="majorBidi" w:hAnsiTheme="majorBidi" w:cstheme="majorBidi"/>
          <w:sz w:val="26"/>
          <w:szCs w:val="26"/>
          <w:rtl/>
        </w:rPr>
        <w:t>راقبة الاطفال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 xml:space="preserve">- </w:t>
      </w:r>
      <w:r w:rsidRPr="00DE2BA5">
        <w:rPr>
          <w:rFonts w:asciiTheme="majorBidi" w:hAnsiTheme="majorBidi" w:cstheme="majorBidi"/>
          <w:sz w:val="26"/>
          <w:szCs w:val="26"/>
          <w:rtl/>
        </w:rPr>
        <w:t>إبراز شهادات التلقيح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 xml:space="preserve"> - </w:t>
      </w:r>
      <w:r w:rsidR="00455F57" w:rsidRPr="00DE2BA5">
        <w:rPr>
          <w:rFonts w:asciiTheme="majorBidi" w:hAnsiTheme="majorBidi" w:cstheme="majorBidi"/>
          <w:sz w:val="26"/>
          <w:szCs w:val="26"/>
          <w:rtl/>
        </w:rPr>
        <w:t xml:space="preserve">حالة ظهور </w:t>
      </w:r>
      <w:r w:rsidRPr="00DE2BA5">
        <w:rPr>
          <w:rFonts w:asciiTheme="majorBidi" w:hAnsiTheme="majorBidi" w:cstheme="majorBidi"/>
          <w:sz w:val="26"/>
          <w:szCs w:val="26"/>
          <w:rtl/>
        </w:rPr>
        <w:t>–</w:t>
      </w:r>
      <w:r w:rsidR="00455F57" w:rsidRPr="00DE2BA5">
        <w:rPr>
          <w:rFonts w:asciiTheme="majorBidi" w:hAnsiTheme="majorBidi" w:cstheme="majorBidi"/>
          <w:sz w:val="26"/>
          <w:szCs w:val="26"/>
          <w:rtl/>
        </w:rPr>
        <w:t>مرض</w:t>
      </w:r>
      <w:r w:rsidRPr="00DE2BA5">
        <w:rPr>
          <w:rFonts w:asciiTheme="majorBidi" w:hAnsiTheme="majorBidi" w:cstheme="majorBidi" w:hint="cs"/>
          <w:sz w:val="26"/>
          <w:szCs w:val="26"/>
          <w:rtl/>
        </w:rPr>
        <w:t>)</w:t>
      </w:r>
    </w:p>
    <w:p w:rsidR="00846C60" w:rsidRPr="00DE2BA5" w:rsidRDefault="00846C60" w:rsidP="00846C60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 w:hint="cs"/>
          <w:sz w:val="26"/>
          <w:szCs w:val="26"/>
          <w:lang w:bidi="ar-LB"/>
        </w:rPr>
      </w:pPr>
      <w:r w:rsidRPr="00DE2BA5">
        <w:rPr>
          <w:rFonts w:asciiTheme="majorBidi" w:hAnsiTheme="majorBidi" w:cstheme="majorBidi" w:hint="cs"/>
          <w:sz w:val="26"/>
          <w:szCs w:val="26"/>
          <w:rtl/>
          <w:lang w:bidi="ar-LB"/>
        </w:rPr>
        <w:t>مراقبة الدور والسلطة الصالحة لذلك</w:t>
      </w:r>
    </w:p>
    <w:p w:rsidR="00A33C4B" w:rsidRPr="00DE2BA5" w:rsidRDefault="00455F57" w:rsidP="00DE2BA5">
      <w:pPr>
        <w:pStyle w:val="ListParagraph"/>
        <w:numPr>
          <w:ilvl w:val="0"/>
          <w:numId w:val="21"/>
        </w:numPr>
        <w:bidi/>
        <w:jc w:val="both"/>
        <w:rPr>
          <w:rFonts w:asciiTheme="majorBidi" w:hAnsiTheme="majorBidi" w:cstheme="majorBidi"/>
          <w:sz w:val="26"/>
          <w:szCs w:val="26"/>
          <w:rtl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 xml:space="preserve"> مسؤولية الحادقة والدو</w:t>
      </w:r>
      <w:r w:rsidR="00A33C4B" w:rsidRPr="00DE2BA5">
        <w:rPr>
          <w:rFonts w:asciiTheme="majorBidi" w:hAnsiTheme="majorBidi" w:cstheme="majorBidi"/>
          <w:sz w:val="26"/>
          <w:szCs w:val="26"/>
          <w:rtl/>
        </w:rPr>
        <w:t>ر</w:t>
      </w:r>
    </w:p>
    <w:p w:rsidR="00A33C4B" w:rsidRPr="00DE2BA5" w:rsidRDefault="00455F57" w:rsidP="00DE2BA5">
      <w:pPr>
        <w:pStyle w:val="ListParagraph"/>
        <w:numPr>
          <w:ilvl w:val="0"/>
          <w:numId w:val="67"/>
        </w:numPr>
        <w:bidi/>
        <w:ind w:firstLine="129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مسؤولية الحادقة المدنية تبعاً لقانون الموجبات والعقود.</w:t>
      </w:r>
    </w:p>
    <w:p w:rsidR="00A33C4B" w:rsidRPr="00DE2BA5" w:rsidRDefault="00455F57" w:rsidP="00DE2BA5">
      <w:pPr>
        <w:pStyle w:val="ListParagraph"/>
        <w:numPr>
          <w:ilvl w:val="0"/>
          <w:numId w:val="67"/>
        </w:numPr>
        <w:bidi/>
        <w:ind w:firstLine="129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مسؤؤولية تقصيرية ( تعريفها-شروطها…).</w:t>
      </w:r>
    </w:p>
    <w:p w:rsidR="00A33C4B" w:rsidRPr="00DE2BA5" w:rsidRDefault="00455F57" w:rsidP="00DE2BA5">
      <w:pPr>
        <w:pStyle w:val="ListParagraph"/>
        <w:numPr>
          <w:ilvl w:val="0"/>
          <w:numId w:val="67"/>
        </w:numPr>
        <w:bidi/>
        <w:ind w:firstLine="129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مسؤولية التابع عن أعمال المتبوع ( تعريفها- شروطها…).</w:t>
      </w:r>
    </w:p>
    <w:p w:rsidR="00A33C4B" w:rsidRPr="00DE2BA5" w:rsidRDefault="00455F57" w:rsidP="00DE2BA5">
      <w:pPr>
        <w:pStyle w:val="ListParagraph"/>
        <w:numPr>
          <w:ilvl w:val="0"/>
          <w:numId w:val="67"/>
        </w:numPr>
        <w:bidi/>
        <w:ind w:firstLine="129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مسؤولية جزائية تبعاً لقانون العقوبات</w:t>
      </w:r>
    </w:p>
    <w:p w:rsidR="00A33C4B" w:rsidRPr="00DE2BA5" w:rsidRDefault="00455F57" w:rsidP="00DE2BA5">
      <w:pPr>
        <w:pStyle w:val="ListParagraph"/>
        <w:numPr>
          <w:ilvl w:val="0"/>
          <w:numId w:val="67"/>
        </w:numPr>
        <w:bidi/>
        <w:ind w:firstLine="129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جريمة الايذاء مادة 544 عقوبات وما يليها ( تعريفها- أركانها..).</w:t>
      </w:r>
    </w:p>
    <w:p w:rsidR="00A33C4B" w:rsidRPr="00DE2BA5" w:rsidRDefault="00455F57" w:rsidP="00DE2BA5">
      <w:pPr>
        <w:pStyle w:val="ListParagraph"/>
        <w:numPr>
          <w:ilvl w:val="0"/>
          <w:numId w:val="67"/>
        </w:numPr>
        <w:bidi/>
        <w:ind w:firstLine="129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جريمة الاهمال الناتجة عن إنت</w:t>
      </w:r>
      <w:r w:rsidR="00A33C4B" w:rsidRPr="00DE2BA5">
        <w:rPr>
          <w:rFonts w:asciiTheme="majorBidi" w:hAnsiTheme="majorBidi" w:cstheme="majorBidi"/>
          <w:sz w:val="26"/>
          <w:szCs w:val="26"/>
          <w:rtl/>
        </w:rPr>
        <w:t>شار الامراض المعدية بين الاطفال</w:t>
      </w:r>
    </w:p>
    <w:p w:rsidR="00F962E1" w:rsidRPr="00DE2BA5" w:rsidRDefault="00455F57" w:rsidP="00DE2BA5">
      <w:pPr>
        <w:pStyle w:val="ListParagraph"/>
        <w:numPr>
          <w:ilvl w:val="0"/>
          <w:numId w:val="67"/>
        </w:numPr>
        <w:bidi/>
        <w:ind w:firstLine="129"/>
        <w:jc w:val="both"/>
        <w:rPr>
          <w:rFonts w:asciiTheme="majorBidi" w:hAnsiTheme="majorBidi" w:cstheme="majorBidi"/>
          <w:sz w:val="26"/>
          <w:szCs w:val="26"/>
          <w:lang w:bidi="ar-LB"/>
        </w:rPr>
      </w:pPr>
      <w:r w:rsidRPr="00DE2BA5">
        <w:rPr>
          <w:rFonts w:asciiTheme="majorBidi" w:hAnsiTheme="majorBidi" w:cstheme="majorBidi"/>
          <w:sz w:val="26"/>
          <w:szCs w:val="26"/>
          <w:rtl/>
        </w:rPr>
        <w:t>مادة 604 عقوبات ( تعريفها- أركانها…)</w:t>
      </w:r>
    </w:p>
    <w:p w:rsidR="00F962E1" w:rsidRPr="00DE2BA5" w:rsidRDefault="00F962E1" w:rsidP="00DE2BA5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sectPr w:rsidR="00F962E1" w:rsidRPr="00DE2BA5" w:rsidSect="00DE2BA5">
      <w:footerReference w:type="default" r:id="rId8"/>
      <w:pgSz w:w="11906" w:h="16838"/>
      <w:pgMar w:top="567" w:right="1133" w:bottom="142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9AA" w:rsidRDefault="005B69AA" w:rsidP="000E5DA8">
      <w:pPr>
        <w:spacing w:after="0" w:line="240" w:lineRule="auto"/>
      </w:pPr>
      <w:r>
        <w:separator/>
      </w:r>
    </w:p>
  </w:endnote>
  <w:endnote w:type="continuationSeparator" w:id="0">
    <w:p w:rsidR="005B69AA" w:rsidRDefault="005B69AA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8770268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2B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9AA" w:rsidRDefault="005B69AA" w:rsidP="000E5DA8">
      <w:pPr>
        <w:spacing w:after="0" w:line="240" w:lineRule="auto"/>
      </w:pPr>
      <w:r>
        <w:separator/>
      </w:r>
    </w:p>
  </w:footnote>
  <w:footnote w:type="continuationSeparator" w:id="0">
    <w:p w:rsidR="005B69AA" w:rsidRDefault="005B69AA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AD83A1D"/>
    <w:multiLevelType w:val="hybridMultilevel"/>
    <w:tmpl w:val="3AC4F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6B44BF"/>
    <w:multiLevelType w:val="hybridMultilevel"/>
    <w:tmpl w:val="A4EED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2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4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9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5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8" w15:restartNumberingAfterBreak="0">
    <w:nsid w:val="5D7B711C"/>
    <w:multiLevelType w:val="hybridMultilevel"/>
    <w:tmpl w:val="12547636"/>
    <w:lvl w:ilvl="0" w:tplc="90767334">
      <w:numFmt w:val="bullet"/>
      <w:lvlText w:val=""/>
      <w:lvlJc w:val="left"/>
      <w:pPr>
        <w:ind w:left="1916" w:hanging="3060"/>
      </w:pPr>
      <w:rPr>
        <w:rFonts w:ascii="Symbol" w:eastAsia="Calibri" w:hAnsi="Symbol" w:cstheme="maj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-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76" w:hanging="360"/>
      </w:pPr>
      <w:rPr>
        <w:rFonts w:ascii="Wingdings" w:hAnsi="Wingdings" w:hint="default"/>
      </w:rPr>
    </w:lvl>
  </w:abstractNum>
  <w:abstractNum w:abstractNumId="49" w15:restartNumberingAfterBreak="0">
    <w:nsid w:val="5D8B746E"/>
    <w:multiLevelType w:val="hybridMultilevel"/>
    <w:tmpl w:val="BC28CF6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51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3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1"/>
  </w:num>
  <w:num w:numId="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3"/>
  </w:num>
  <w:num w:numId="6">
    <w:abstractNumId w:val="36"/>
  </w:num>
  <w:num w:numId="7">
    <w:abstractNumId w:val="52"/>
  </w:num>
  <w:num w:numId="8">
    <w:abstractNumId w:val="3"/>
  </w:num>
  <w:num w:numId="9">
    <w:abstractNumId w:val="14"/>
  </w:num>
  <w:num w:numId="10">
    <w:abstractNumId w:val="64"/>
  </w:num>
  <w:num w:numId="11">
    <w:abstractNumId w:val="61"/>
  </w:num>
  <w:num w:numId="12">
    <w:abstractNumId w:val="16"/>
  </w:num>
  <w:num w:numId="13">
    <w:abstractNumId w:val="33"/>
  </w:num>
  <w:num w:numId="14">
    <w:abstractNumId w:val="13"/>
  </w:num>
  <w:num w:numId="15">
    <w:abstractNumId w:val="32"/>
  </w:num>
  <w:num w:numId="16">
    <w:abstractNumId w:val="57"/>
  </w:num>
  <w:num w:numId="17">
    <w:abstractNumId w:val="59"/>
  </w:num>
  <w:num w:numId="18">
    <w:abstractNumId w:val="2"/>
  </w:num>
  <w:num w:numId="19">
    <w:abstractNumId w:val="25"/>
  </w:num>
  <w:num w:numId="20">
    <w:abstractNumId w:val="58"/>
  </w:num>
  <w:num w:numId="21">
    <w:abstractNumId w:val="30"/>
  </w:num>
  <w:num w:numId="22">
    <w:abstractNumId w:val="39"/>
  </w:num>
  <w:num w:numId="23">
    <w:abstractNumId w:val="8"/>
  </w:num>
  <w:num w:numId="24">
    <w:abstractNumId w:val="37"/>
  </w:num>
  <w:num w:numId="25">
    <w:abstractNumId w:val="7"/>
  </w:num>
  <w:num w:numId="26">
    <w:abstractNumId w:val="55"/>
  </w:num>
  <w:num w:numId="27">
    <w:abstractNumId w:val="42"/>
  </w:num>
  <w:num w:numId="28">
    <w:abstractNumId w:val="35"/>
  </w:num>
  <w:num w:numId="29">
    <w:abstractNumId w:val="40"/>
  </w:num>
  <w:num w:numId="30">
    <w:abstractNumId w:val="62"/>
  </w:num>
  <w:num w:numId="31">
    <w:abstractNumId w:val="26"/>
  </w:num>
  <w:num w:numId="32">
    <w:abstractNumId w:val="45"/>
  </w:num>
  <w:num w:numId="33">
    <w:abstractNumId w:val="51"/>
  </w:num>
  <w:num w:numId="34">
    <w:abstractNumId w:val="27"/>
  </w:num>
  <w:num w:numId="35">
    <w:abstractNumId w:val="63"/>
  </w:num>
  <w:num w:numId="36">
    <w:abstractNumId w:val="44"/>
  </w:num>
  <w:num w:numId="37">
    <w:abstractNumId w:val="22"/>
  </w:num>
  <w:num w:numId="38">
    <w:abstractNumId w:val="66"/>
  </w:num>
  <w:num w:numId="39">
    <w:abstractNumId w:val="21"/>
  </w:num>
  <w:num w:numId="40">
    <w:abstractNumId w:val="12"/>
  </w:num>
  <w:num w:numId="41">
    <w:abstractNumId w:val="31"/>
  </w:num>
  <w:num w:numId="42">
    <w:abstractNumId w:val="0"/>
  </w:num>
  <w:num w:numId="43">
    <w:abstractNumId w:val="43"/>
  </w:num>
  <w:num w:numId="44">
    <w:abstractNumId w:val="11"/>
  </w:num>
  <w:num w:numId="45">
    <w:abstractNumId w:val="24"/>
  </w:num>
  <w:num w:numId="46">
    <w:abstractNumId w:val="47"/>
  </w:num>
  <w:num w:numId="47">
    <w:abstractNumId w:val="15"/>
  </w:num>
  <w:num w:numId="48">
    <w:abstractNumId w:val="23"/>
  </w:num>
  <w:num w:numId="49">
    <w:abstractNumId w:val="5"/>
  </w:num>
  <w:num w:numId="50">
    <w:abstractNumId w:val="50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60"/>
  </w:num>
  <w:num w:numId="56">
    <w:abstractNumId w:val="6"/>
  </w:num>
  <w:num w:numId="57">
    <w:abstractNumId w:val="38"/>
  </w:num>
  <w:num w:numId="58">
    <w:abstractNumId w:val="28"/>
  </w:num>
  <w:num w:numId="59">
    <w:abstractNumId w:val="1"/>
  </w:num>
  <w:num w:numId="60">
    <w:abstractNumId w:val="19"/>
  </w:num>
  <w:num w:numId="61">
    <w:abstractNumId w:val="54"/>
  </w:num>
  <w:num w:numId="62">
    <w:abstractNumId w:val="34"/>
  </w:num>
  <w:num w:numId="63">
    <w:abstractNumId w:val="65"/>
  </w:num>
  <w:num w:numId="64">
    <w:abstractNumId w:val="46"/>
  </w:num>
  <w:num w:numId="65">
    <w:abstractNumId w:val="48"/>
  </w:num>
  <w:num w:numId="66">
    <w:abstractNumId w:val="29"/>
  </w:num>
  <w:num w:numId="67">
    <w:abstractNumId w:val="49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9AA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46C60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A61E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5E84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2BA5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EE787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D7D6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138C6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46CEA-E8D4-4128-8E9D-9B629203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56</cp:revision>
  <cp:lastPrinted>2020-10-02T09:46:00Z</cp:lastPrinted>
  <dcterms:created xsi:type="dcterms:W3CDTF">2014-04-11T15:52:00Z</dcterms:created>
  <dcterms:modified xsi:type="dcterms:W3CDTF">2020-10-02T09:57:00Z</dcterms:modified>
</cp:coreProperties>
</file>